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81E" w:rsidRPr="0096081E" w:rsidRDefault="0096081E" w:rsidP="0096081E">
      <w:pPr>
        <w:spacing w:before="525" w:after="375"/>
        <w:textAlignment w:val="baseline"/>
        <w:outlineLvl w:val="0"/>
        <w:rPr>
          <w:rFonts w:ascii="inherit" w:eastAsia="Times New Roman" w:hAnsi="inherit" w:cs="Times New Roman"/>
          <w:b/>
          <w:bCs/>
          <w:caps/>
          <w:kern w:val="36"/>
          <w:sz w:val="60"/>
          <w:szCs w:val="60"/>
          <w:lang w:eastAsia="ru-RU"/>
        </w:rPr>
      </w:pPr>
      <w:r w:rsidRPr="0096081E">
        <w:rPr>
          <w:rFonts w:ascii="inherit" w:eastAsia="Times New Roman" w:hAnsi="inherit" w:cs="Times New Roman"/>
          <w:b/>
          <w:bCs/>
          <w:caps/>
          <w:kern w:val="36"/>
          <w:sz w:val="60"/>
          <w:szCs w:val="60"/>
          <w:lang w:eastAsia="ru-RU"/>
        </w:rPr>
        <w:t>ФОРМА № 3-НАУКА (РІЧНА): СКЛАДАЄМО ЗВІТ ПРАВИЛЬНО</w:t>
      </w:r>
    </w:p>
    <w:p w:rsidR="0096081E" w:rsidRPr="0096081E" w:rsidRDefault="0096081E" w:rsidP="0096081E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878787"/>
          <w:sz w:val="21"/>
          <w:szCs w:val="21"/>
          <w:lang w:eastAsia="ru-RU"/>
        </w:rPr>
      </w:pPr>
      <w:proofErr w:type="spellStart"/>
      <w:r w:rsidRPr="0096081E">
        <w:rPr>
          <w:rFonts w:ascii="inherit" w:eastAsia="Times New Roman" w:hAnsi="inherit" w:cs="Times New Roman"/>
          <w:color w:val="878787"/>
          <w:sz w:val="21"/>
          <w:szCs w:val="21"/>
          <w:lang w:eastAsia="ru-RU"/>
        </w:rPr>
        <w:t>December</w:t>
      </w:r>
      <w:proofErr w:type="spellEnd"/>
      <w:r w:rsidRPr="0096081E">
        <w:rPr>
          <w:rFonts w:ascii="inherit" w:eastAsia="Times New Roman" w:hAnsi="inherit" w:cs="Times New Roman"/>
          <w:color w:val="878787"/>
          <w:sz w:val="21"/>
          <w:szCs w:val="21"/>
          <w:lang w:eastAsia="ru-RU"/>
        </w:rPr>
        <w:t xml:space="preserve"> 22, 2020</w:t>
      </w:r>
    </w:p>
    <w:p w:rsidR="0096081E" w:rsidRPr="0096081E" w:rsidRDefault="0096081E" w:rsidP="0096081E">
      <w:pPr>
        <w:spacing w:after="0" w:line="330" w:lineRule="atLeast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Arial" w:eastAsia="Times New Roman" w:hAnsi="Arial" w:cs="Arial"/>
          <w:noProof/>
          <w:color w:val="221E1F"/>
          <w:sz w:val="24"/>
          <w:szCs w:val="24"/>
          <w:lang w:eastAsia="ru-RU"/>
        </w:rPr>
        <w:drawing>
          <wp:inline distT="0" distB="0" distL="0" distR="0">
            <wp:extent cx="5939790" cy="30308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1E" w:rsidRPr="0096081E" w:rsidRDefault="0096081E" w:rsidP="0096081E">
      <w:pPr>
        <w:spacing w:after="0" w:line="330" w:lineRule="atLeast"/>
        <w:ind w:left="60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показників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містить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форма № 3-наука (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річна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базується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вимогах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нормативних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Європейського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Союзу (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– ЄС)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стосовно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статистики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наукових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досліджень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розробок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зокрема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Регламенту (ЄС)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26.10.12 р. № 995/2012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докладних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правил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№ 1608/2003/EC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Європейського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парламенту </w:t>
      </w:r>
      <w:proofErr w:type="gram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й</w:t>
      </w:r>
      <w:proofErr w:type="gram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стосовно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виробництва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статистики з науки й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технологій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, та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Керівництва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Фраскаті</w:t>
      </w:r>
      <w:proofErr w:type="spellEnd"/>
      <w:r w:rsidRPr="0096081E">
        <w:rPr>
          <w:rFonts w:ascii="inherit" w:eastAsia="Times New Roman" w:hAnsi="inherit" w:cs="Arial"/>
          <w:b/>
          <w:bCs/>
          <w:i/>
          <w:iCs/>
          <w:color w:val="221E1F"/>
          <w:sz w:val="24"/>
          <w:szCs w:val="24"/>
          <w:bdr w:val="none" w:sz="0" w:space="0" w:color="auto" w:frame="1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Мета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заповнення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цієї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форми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полягає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формуванні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виконавців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їх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здійснюють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для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інформаційного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забезпечення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статистики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національних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рахунків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користувачів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Основні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статистичні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показники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:</w:t>
      </w:r>
    </w:p>
    <w:p w:rsidR="0096081E" w:rsidRPr="0096081E" w:rsidRDefault="0096081E" w:rsidP="0096081E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задіяних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категоріями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персоналу,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рівнями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віком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статтю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галузями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наук;</w:t>
      </w:r>
    </w:p>
    <w:p w:rsidR="0096081E" w:rsidRPr="0096081E" w:rsidRDefault="0096081E" w:rsidP="0096081E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задіяних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серед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них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ступінь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доктора наук, доктора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філософії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(кандидата наук);</w:t>
      </w:r>
    </w:p>
    <w:p w:rsidR="0096081E" w:rsidRPr="0096081E" w:rsidRDefault="0096081E" w:rsidP="0096081E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обсяг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видами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джерелами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фінансування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видами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робіт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lastRenderedPageBreak/>
        <w:t xml:space="preserve">Форма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відображає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показники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сформовані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використанням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:</w:t>
      </w:r>
    </w:p>
    <w:p w:rsidR="0096081E" w:rsidRPr="0096081E" w:rsidRDefault="0096081E" w:rsidP="0096081E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регістрів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бухгалтерського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Плану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рахунків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бухгалтерського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активів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зобов’язань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господарських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операцій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підприємств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 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fldChar w:fldCharType="begin"/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instrText xml:space="preserve"> HYPERLINK "https://pravo.uteka.ua/doc/Pro-zatverdzhennya-Planu-raxunkiv-buxgalterskogo-obliku-ta-Instrukcii-pro-jogo-zastosuvannya-2/instrukciya-pro-zastosuvannya-planu-raxunkiv-buxgalterskogo-obliku-aktiviv-kapitalu-zobovyazan-i-gospodarskix-operacij-pidpriyemstv-i-organizacij" \t "_blank" </w:instrTex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fldChar w:fldCharType="separate"/>
      </w:r>
      <w:r w:rsidRPr="0096081E">
        <w:rPr>
          <w:rFonts w:ascii="Arial" w:eastAsia="Times New Roman" w:hAnsi="Arial" w:cs="Arial"/>
          <w:color w:val="307FE2"/>
          <w:sz w:val="24"/>
          <w:szCs w:val="24"/>
          <w:bdr w:val="none" w:sz="0" w:space="0" w:color="auto" w:frame="1"/>
          <w:lang w:eastAsia="ru-RU"/>
        </w:rPr>
        <w:t>Інструкції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fldChar w:fldCharType="end"/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застосування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hyperlink r:id="rId6" w:tgtFrame="_blank" w:history="1"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Плану </w:t>
        </w:r>
        <w:proofErr w:type="spellStart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>рахунків</w:t>
        </w:r>
        <w:proofErr w:type="spellEnd"/>
      </w:hyperlink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бухгалтерського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активів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зобов’язань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господарських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операцій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підприємств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затверджених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hyperlink r:id="rId7" w:tgtFrame="_blank" w:history="1"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наказом </w:t>
        </w:r>
        <w:proofErr w:type="spellStart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>Мінфіну</w:t>
        </w:r>
        <w:proofErr w:type="spellEnd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>від</w:t>
        </w:r>
        <w:proofErr w:type="spellEnd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 30.11.99 р. № 291</w:t>
        </w:r>
      </w:hyperlink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а в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разі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ведення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спрощеною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формою – Плану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рахунків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бухгалтерського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активів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зобов’язань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господарських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операцій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суб’єктів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малого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підприємництва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затвердженого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hyperlink r:id="rId8" w:tgtFrame="_blank" w:history="1"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наказом </w:t>
        </w:r>
        <w:proofErr w:type="spellStart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>Мінфіну</w:t>
        </w:r>
        <w:proofErr w:type="spellEnd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>від</w:t>
        </w:r>
        <w:proofErr w:type="spellEnd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 19.04.01 р. № 186</w:t>
        </w:r>
      </w:hyperlink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національних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положень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стандартів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бухгалтерського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затверджених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нормативно-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правовими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актами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Мінфіну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міжнародних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стандартів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бухгалтерського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фінансової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національних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положень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стандартів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бухгалтерського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в державному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секторі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затверджених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нормативно-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правовими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актами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Мінфіну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документів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первинного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саме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: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особових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справ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посвідчень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відрядження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авансових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використання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наданих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відрядження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форма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містить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яка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формується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підставі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:</w:t>
      </w:r>
    </w:p>
    <w:p w:rsidR="0096081E" w:rsidRPr="0096081E" w:rsidRDefault="0096081E" w:rsidP="0096081E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складеного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ДСТУ 3008-95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Документація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сфері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науки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техніки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науково-дослідну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роботу);</w:t>
      </w:r>
    </w:p>
    <w:p w:rsidR="0096081E" w:rsidRPr="0096081E" w:rsidRDefault="0096081E" w:rsidP="0096081E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рекомендованих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Мінсоцполітики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норм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тривалості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робочого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часу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місяцями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Показники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форми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містять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звітний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Подається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форма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пізніше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5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березня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after="0"/>
        <w:jc w:val="both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221E1F"/>
          <w:sz w:val="33"/>
          <w:szCs w:val="33"/>
          <w:lang w:eastAsia="ru-RU"/>
        </w:rPr>
      </w:pPr>
      <w:r w:rsidRPr="0096081E">
        <w:rPr>
          <w:rFonts w:ascii="inherit" w:eastAsia="Times New Roman" w:hAnsi="inherit" w:cs="Arial"/>
          <w:b/>
          <w:bCs/>
          <w:caps/>
          <w:color w:val="221E1F"/>
          <w:sz w:val="33"/>
          <w:szCs w:val="33"/>
          <w:lang w:eastAsia="ru-RU"/>
        </w:rPr>
        <w:t>ФОРМА № 3: ОПРАЦЬОВУЄМО ЗА РЯДКАМИ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Значення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показників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1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містить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ПДВ.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Одиницею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вимірювання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є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тисяча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гривень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одним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десятковим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знаком.</w:t>
      </w:r>
    </w:p>
    <w:tbl>
      <w:tblPr>
        <w:tblW w:w="1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9"/>
      </w:tblGrid>
      <w:tr w:rsidR="0096081E" w:rsidRPr="0096081E" w:rsidTr="0096081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96081E" w:rsidRPr="0096081E" w:rsidRDefault="0096081E" w:rsidP="0096081E">
            <w:pPr>
              <w:spacing w:after="0" w:line="300" w:lineRule="atLeast"/>
              <w:ind w:left="600"/>
              <w:jc w:val="both"/>
              <w:textAlignment w:val="baseline"/>
              <w:rPr>
                <w:rFonts w:ascii="Arial" w:eastAsia="Times New Roman" w:hAnsi="Arial" w:cs="Arial"/>
                <w:color w:val="221E1F"/>
                <w:sz w:val="21"/>
                <w:szCs w:val="21"/>
                <w:lang w:eastAsia="ru-RU"/>
              </w:rPr>
            </w:pPr>
            <w:proofErr w:type="spellStart"/>
            <w:r w:rsidRPr="0096081E">
              <w:rPr>
                <w:rFonts w:ascii="Arial" w:eastAsia="Times New Roman" w:hAnsi="Arial" w:cs="Arial"/>
                <w:b/>
                <w:bCs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>Зверніть</w:t>
            </w:r>
            <w:proofErr w:type="spellEnd"/>
            <w:r w:rsidRPr="0096081E">
              <w:rPr>
                <w:rFonts w:ascii="Arial" w:eastAsia="Times New Roman" w:hAnsi="Arial" w:cs="Arial"/>
                <w:b/>
                <w:bCs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6081E">
              <w:rPr>
                <w:rFonts w:ascii="Arial" w:eastAsia="Times New Roman" w:hAnsi="Arial" w:cs="Arial"/>
                <w:b/>
                <w:bCs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>увагу</w:t>
            </w:r>
            <w:proofErr w:type="spellEnd"/>
            <w:r w:rsidRPr="0096081E">
              <w:rPr>
                <w:rFonts w:ascii="Arial" w:eastAsia="Times New Roman" w:hAnsi="Arial" w:cs="Arial"/>
                <w:b/>
                <w:bCs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 xml:space="preserve"> за </w:t>
            </w:r>
            <w:proofErr w:type="spellStart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>відсутності</w:t>
            </w:r>
            <w:proofErr w:type="spellEnd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>даних</w:t>
            </w:r>
            <w:proofErr w:type="spellEnd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>відповідних</w:t>
            </w:r>
            <w:proofErr w:type="spellEnd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 xml:space="preserve"> рядках (графах) </w:t>
            </w:r>
            <w:proofErr w:type="spellStart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>форми</w:t>
            </w:r>
            <w:proofErr w:type="spellEnd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>ставляться</w:t>
            </w:r>
            <w:proofErr w:type="spellEnd"/>
            <w:r w:rsidRPr="0096081E">
              <w:rPr>
                <w:rFonts w:ascii="Arial" w:eastAsia="Times New Roman" w:hAnsi="Arial" w:cs="Arial"/>
                <w:i/>
                <w:iCs/>
                <w:color w:val="221E1F"/>
                <w:sz w:val="21"/>
                <w:szCs w:val="21"/>
                <w:bdr w:val="none" w:sz="0" w:space="0" w:color="auto" w:frame="1"/>
                <w:lang w:eastAsia="ru-RU"/>
              </w:rPr>
              <w:t xml:space="preserve"> прочерки.</w:t>
            </w:r>
          </w:p>
        </w:tc>
      </w:tr>
    </w:tbl>
    <w:p w:rsidR="0096081E" w:rsidRPr="0096081E" w:rsidRDefault="0096081E" w:rsidP="0096081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рядку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100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відображається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загальна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сума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далі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– 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урахуванням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робіт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співвиконавцями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з початку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періоду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уключаючи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як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поточні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так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капітальні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(ряд. 100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містить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суми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амортизаційних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відрахувань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повне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відновлення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основних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фондів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рядка 100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дорівнюють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сумі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рядків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101 і 142.</w:t>
      </w:r>
    </w:p>
    <w:p w:rsidR="0096081E" w:rsidRPr="0096081E" w:rsidRDefault="0096081E" w:rsidP="0096081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proofErr w:type="spellStart"/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. 1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подано як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загальною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сумою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(гр. 1), так і за видами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робіт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: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фундаментальних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прикладних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науково-технічних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експериментальних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(графи 2–4):</w:t>
      </w:r>
    </w:p>
    <w:p w:rsidR="0096081E" w:rsidRPr="0096081E" w:rsidRDefault="0096081E" w:rsidP="0096081E">
      <w:pPr>
        <w:numPr>
          <w:ilvl w:val="0"/>
          <w:numId w:val="4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 </w:t>
      </w: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</w:t>
      </w:r>
      <w:proofErr w:type="gramEnd"/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101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відображаються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фактичні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межах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підприємства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(установи),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тобто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власними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силами,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звітному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році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незалежно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lastRenderedPageBreak/>
        <w:t>джерела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надходження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надходження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або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сплати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грошових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Цей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рядок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містить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як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поточні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так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капітальні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винятком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суми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амортизаційних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відрахувань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повне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відновлення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основних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фондів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Зазначений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обсяг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включає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робіт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послуг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відносяться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4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 142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вартість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сторонніми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договорами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підприємством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установою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звітує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4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 102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внутрішні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поточні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межах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підприємства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(установи) (без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урахування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),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виділенням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оплату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персоналу (ряд. 103)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поточних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(ряд. 104);</w:t>
      </w:r>
    </w:p>
    <w:p w:rsidR="0096081E" w:rsidRPr="0096081E" w:rsidRDefault="0096081E" w:rsidP="0096081E">
      <w:pPr>
        <w:numPr>
          <w:ilvl w:val="0"/>
          <w:numId w:val="4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 103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оплату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всіх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здійснювали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цьому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рядку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наводять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: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нарахувань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винагород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роботу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встановлених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норм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норми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часу,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виробітку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обслуговування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посадових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обов’язків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; доплат, надбавок,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гарантійних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компенсаційних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виплат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передбачених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чинним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законодавством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;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премій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пов’язаних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із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виробничих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завдань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функцій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;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винагород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премій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одноразовий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характер;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компенсаційних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грошових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матеріальних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виплат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передбачені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актами чинного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законодавства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або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провадяться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понад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установлені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зазначеними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актами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норми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нараховані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штатним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працівникам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сумісникам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хто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працював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цивільно-правовими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договорами;</w:t>
      </w:r>
    </w:p>
    <w:p w:rsidR="0096081E" w:rsidRPr="0096081E" w:rsidRDefault="0096081E" w:rsidP="0096081E">
      <w:pPr>
        <w:numPr>
          <w:ilvl w:val="0"/>
          <w:numId w:val="4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 104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придбання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виготовлення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спеціальних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інструментів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пристроїв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стендів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апаратів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механізмів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спеціального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устаткування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сировини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й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матеріалів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комплектувальних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виробів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напівфабрикатів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палива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енергії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всіх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видів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природної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сировини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робіт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послуг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виробничого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характеру,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виконуються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сторонніми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підприємствами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установами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необхідні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для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конкретного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уключаючи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його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проектування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транспортування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встановлення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відображають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вартістю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придбання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уключаючи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націнки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(надбавки),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комісійні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винагороди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виплачені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постачальницьким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зовнішньоекономічним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вартість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послуг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товарних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бірж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мито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транспортування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зберігання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доставку,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здійснюються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силами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сторонніх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цьому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рядку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відображаються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поточні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пов’язані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(у т. ч.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відрахування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соціальні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заходи);</w:t>
      </w:r>
    </w:p>
    <w:p w:rsidR="0096081E" w:rsidRPr="0096081E" w:rsidRDefault="0096081E" w:rsidP="0096081E">
      <w:pPr>
        <w:numPr>
          <w:ilvl w:val="0"/>
          <w:numId w:val="4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 105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обсяг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інвестицій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винятком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інвестицій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будівництво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житла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об’єктів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культурно-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побутового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призначення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пов’язані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урахованих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рядку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102.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Із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загальної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суми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(ряд. 105)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виділено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капітальні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інвестиції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придбання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земельних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ділянок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будівництво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придбання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споруд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– </w:t>
      </w: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рядок 106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;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придбання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устаткування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зарахованого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 складу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основних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засобів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, – </w:t>
      </w: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рядок 107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(рядок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містить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урахованих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ряд. 104);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капітальні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пов’язані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, – </w:t>
      </w: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рядок 108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109–117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наводяться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розподілені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належать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власних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і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бюджету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приналежності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їх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секторів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діяльності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саме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:</w:t>
      </w:r>
    </w:p>
    <w:p w:rsidR="0096081E" w:rsidRPr="0096081E" w:rsidRDefault="0096081E" w:rsidP="0096081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lastRenderedPageBreak/>
        <w:t>рядок 109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власні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5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рядок 110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сумарні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консолідовані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бюджетні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тобто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надійшли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із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державного бюджету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місцевих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бюджетів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незалежно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того,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вони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безпосередньо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чи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договорами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із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замовниками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5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рядок 111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Державної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казначейської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служби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(у т. ч.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фактично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виділені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цільовим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призначенням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заходів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завдань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частині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науково-технічних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програм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).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112–115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наводяться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національних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організацій-замовників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надійшли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проведення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можуть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бути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формі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грантів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або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пожертвувань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вигляді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грошових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чи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ресурсів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наприклад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персоналу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або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обладнання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переданих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для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використання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чи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основі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контрактів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Оцінка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ресурсів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негрошовій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формі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здійснюється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законодавства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їх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поточною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вартістю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грошовому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еквіваленті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відноситься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джерел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фінансування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показників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рядків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112–115 не включено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наведені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в рядках 109–111),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саме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:</w:t>
      </w:r>
    </w:p>
    <w:p w:rsidR="0096081E" w:rsidRPr="0096081E" w:rsidRDefault="0096081E" w:rsidP="0096081E">
      <w:pPr>
        <w:numPr>
          <w:ilvl w:val="0"/>
          <w:numId w:val="6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 </w:t>
      </w: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</w:t>
      </w:r>
      <w:proofErr w:type="gramEnd"/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112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юросіб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відокремлених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підрозділів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юросіб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проводять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господарську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діяльність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спрямовану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прибутку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державної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влади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бюджетні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установи,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належать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сфери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управління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держвлади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безпосередньо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їх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обслуговують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);</w:t>
      </w:r>
    </w:p>
    <w:p w:rsidR="0096081E" w:rsidRPr="0096081E" w:rsidRDefault="0096081E" w:rsidP="0096081E">
      <w:pPr>
        <w:numPr>
          <w:ilvl w:val="0"/>
          <w:numId w:val="6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 113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юросіб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відокремлених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підрозділів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юросіб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проводять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господарську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діяльність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спрямовану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прибутку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тобто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підприємства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(установи),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основна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діяльність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пов’язана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виробництвом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продукції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робіт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послуг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 з метою продажу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незалежно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правового статусу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науково-дослідні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інститути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конструкторські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проєктно-конструкторські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проєктні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проєктно-вишукувальні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промислові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підприємства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бази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їх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безпосередньо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обслуговують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);</w:t>
      </w:r>
    </w:p>
    <w:p w:rsidR="0096081E" w:rsidRPr="0096081E" w:rsidRDefault="0096081E" w:rsidP="0096081E">
      <w:pPr>
        <w:numPr>
          <w:ilvl w:val="0"/>
          <w:numId w:val="6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 114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закладів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вищої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незалежно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їх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підпорядкування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правового статусу,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науково-дослідних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інститутів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центрів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конструкторських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проєктно-конструкторських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клінік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госпіталів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експериментальних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)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установ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підпорядкованих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закладам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вищої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їх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безпосередньо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обслуговують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6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 115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приватних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неприбуткових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належать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юрособи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діяльність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відповідає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вимогам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hyperlink r:id="rId9" w:tgtFrame="_blank" w:history="1"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п. 133.4 </w:t>
        </w:r>
        <w:proofErr w:type="spellStart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>Податкового</w:t>
        </w:r>
        <w:proofErr w:type="spellEnd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 кодексу</w:t>
        </w:r>
      </w:hyperlink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громадські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об’єднання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професійні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товариства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творчі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спілки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асоціації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благодійні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фонди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об’єднання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юросіб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тощо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). </w:t>
      </w:r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До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даних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рядка 115 не включено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належать до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держсектору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Далі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:</w:t>
      </w:r>
    </w:p>
    <w:p w:rsidR="0096081E" w:rsidRPr="0096081E" w:rsidRDefault="0096081E" w:rsidP="0096081E">
      <w:pPr>
        <w:numPr>
          <w:ilvl w:val="0"/>
          <w:numId w:val="7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 </w:t>
      </w: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</w:t>
      </w:r>
      <w:proofErr w:type="gramEnd"/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116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відображається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суб’єктів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господарювання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здійснюють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господарську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діяльність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поза межами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України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(до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даних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рядка не включено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юросіб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керують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lastRenderedPageBreak/>
        <w:t>науковими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установами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, суднами,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літальними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апаратами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супутниками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належать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державі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)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міжнародних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організацій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отримані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в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іноземній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валюті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відображаються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в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перерахунку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гривню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курсом НБУ на день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підписання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акта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здавання-приймання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робіт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або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документа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чи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день фактичного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надходження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рахунок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7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рядку 117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кошти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надійшли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джерел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не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заборонених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чинним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законодавством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України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7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рядках 118–141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витрати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галузями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наук.</w:t>
      </w:r>
    </w:p>
    <w:p w:rsidR="0096081E" w:rsidRPr="0096081E" w:rsidRDefault="0096081E" w:rsidP="0096081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Розділ</w:t>
      </w:r>
      <w:proofErr w:type="spellEnd"/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форми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містить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всіх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безпосередньо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задіяних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межах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установи,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тих,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хто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надає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прямі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послуги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зокрема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менеджерів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адміністрацію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службовців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зайнятих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виконанні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належать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штатні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сумісники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особи,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працюють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договорами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цивільно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-правового характеру.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Водночас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враховують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лише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тих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осіб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виконували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або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допоміжні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й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інші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функції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пов’язані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їх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проведенням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надають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допоміжні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, не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пов’язані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проведенням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ДіР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наприклад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громадського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харчування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охорони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) </w:t>
      </w:r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цьому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розділі</w:t>
      </w:r>
      <w:proofErr w:type="spellEnd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96081E">
        <w:rPr>
          <w:rFonts w:ascii="Arial" w:eastAsia="Times New Roman" w:hAnsi="Arial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відображаються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2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наводяться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науково-педагогічних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закладів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вищої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поряд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із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педагогічною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діяльністю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виконували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й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в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науково-дослідних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підрозділах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чи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кафедрах.</w:t>
      </w:r>
    </w:p>
    <w:p w:rsidR="0096081E" w:rsidRPr="0096081E" w:rsidRDefault="0096081E" w:rsidP="0096081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2 подано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кінець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року – графи 1 і 2 та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фактично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відпрацьованих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людино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-годин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звітний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розрахованих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гл. 4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Інструкції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статистики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затвердженої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</w:t>
      </w:r>
      <w:hyperlink r:id="rId10" w:tgtFrame="_blank" w:history="1"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наказом </w:t>
        </w:r>
        <w:proofErr w:type="spellStart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>Держкомстату</w:t>
        </w:r>
        <w:proofErr w:type="spellEnd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>від</w:t>
        </w:r>
        <w:proofErr w:type="spellEnd"/>
        <w:r w:rsidRPr="0096081E">
          <w:rPr>
            <w:rFonts w:ascii="Arial" w:eastAsia="Times New Roman" w:hAnsi="Arial" w:cs="Arial"/>
            <w:color w:val="307FE2"/>
            <w:sz w:val="24"/>
            <w:szCs w:val="24"/>
            <w:bdr w:val="none" w:sz="0" w:space="0" w:color="auto" w:frame="1"/>
            <w:lang w:eastAsia="ru-RU"/>
          </w:rPr>
          <w:t xml:space="preserve"> 28.09.05 р. № 286</w:t>
        </w:r>
      </w:hyperlink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 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далі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Інструкція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№ 286).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Із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графи 1 </w:t>
      </w: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графах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 і 4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виділено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жінок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уключених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складу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із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розподілом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категоріями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персоналу,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рівнем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галузями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наук (рядки 202–216),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зазначену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наприкінці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року (гр. 2) і в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фактично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відпрацьованих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людино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-годин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звітний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(гр. 4).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Графа 5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підрозд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2.2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містить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облікової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штатних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працівників-дослідників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кінець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року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гл. 2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Інструкції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№ 286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виключенням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тих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перебувають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відпустках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для догляду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дитиною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досягнення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нею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передбаченого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чинним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законодавством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або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колективним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договором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підприємства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включаючи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тих,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усиновили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новонароджену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дитину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безпосередньо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пологового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будинку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рядку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201 наводиться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.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рядка 201 є сумою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рядків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202–204, 205 і 210, 211–216.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lastRenderedPageBreak/>
        <w:t>У рядках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202–204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загальної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і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розподілено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категоріями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персоналу.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205–210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загальної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й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розподілено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рівнями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кваліфікаційними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рівнями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).</w:t>
      </w:r>
    </w:p>
    <w:p w:rsidR="0096081E" w:rsidRPr="0096081E" w:rsidRDefault="0096081E" w:rsidP="0096081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освітніх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рівнів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наведено в 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fldChar w:fldCharType="begin"/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instrText xml:space="preserve"> HYPERLINK "https://pravo.uteka.ua/doc/Pro-vishhu-osvitu" \t "_blank" </w:instrTex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fldChar w:fldCharType="separate"/>
      </w:r>
      <w:r w:rsidRPr="0096081E">
        <w:rPr>
          <w:rFonts w:ascii="Arial" w:eastAsia="Times New Roman" w:hAnsi="Arial" w:cs="Arial"/>
          <w:color w:val="307FE2"/>
          <w:sz w:val="24"/>
          <w:szCs w:val="24"/>
          <w:bdr w:val="none" w:sz="0" w:space="0" w:color="auto" w:frame="1"/>
          <w:lang w:eastAsia="ru-RU"/>
        </w:rPr>
        <w:t>Законі</w:t>
      </w:r>
      <w:proofErr w:type="spellEnd"/>
      <w:r w:rsidRPr="0096081E">
        <w:rPr>
          <w:rFonts w:ascii="Arial" w:eastAsia="Times New Roman" w:hAnsi="Arial" w:cs="Arial"/>
          <w:color w:val="307FE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307FE2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96081E">
        <w:rPr>
          <w:rFonts w:ascii="Arial" w:eastAsia="Times New Roman" w:hAnsi="Arial" w:cs="Arial"/>
          <w:color w:val="307FE2"/>
          <w:sz w:val="24"/>
          <w:szCs w:val="24"/>
          <w:bdr w:val="none" w:sz="0" w:space="0" w:color="auto" w:frame="1"/>
          <w:lang w:eastAsia="ru-RU"/>
        </w:rPr>
        <w:t xml:space="preserve"> 01.07.14 р. № 1556-VII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fldChar w:fldCharType="end"/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 «Про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вищу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»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далі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– Закон № 1556).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211–216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загальної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працівників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й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розподіляються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галузями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наук.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рядку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217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відображаються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кінець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року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(гр. 1) та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жінок-дослідників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(гр. 2), 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також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звітний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відпрацьованого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ними часу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графи 3 і 4).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218–221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загальної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й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розподіляються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рівнями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кваліфікаційними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рівнями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рядків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206–209).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Відповідність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освітніх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рівнів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наведено в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Законі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№ 1556.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222–227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щодо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загальної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кількості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виконують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дослідження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й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розробки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розподіляються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галузями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наук.</w:t>
      </w:r>
    </w:p>
    <w:p w:rsidR="0096081E" w:rsidRPr="0096081E" w:rsidRDefault="0096081E" w:rsidP="0096081E">
      <w:pPr>
        <w:spacing w:before="240" w:after="24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gram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 рядках</w:t>
      </w:r>
      <w:proofErr w:type="gram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228–237 наводиться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інформація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на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кінець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звітного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року про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розподіл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віком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даних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показників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зазначених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у графах 1–8:</w:t>
      </w:r>
    </w:p>
    <w:p w:rsidR="0096081E" w:rsidRPr="0096081E" w:rsidRDefault="0096081E" w:rsidP="0096081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у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графі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1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графі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дослідників-жінок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;</w:t>
      </w:r>
    </w:p>
    <w:p w:rsidR="0096081E" w:rsidRPr="0096081E" w:rsidRDefault="0096081E" w:rsidP="0096081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графі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3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диплом доктора наук;</w:t>
      </w:r>
    </w:p>
    <w:p w:rsidR="0096081E" w:rsidRPr="0096081E" w:rsidRDefault="0096081E" w:rsidP="0096081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графі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4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дослідників-жінок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диплом доктора наук;</w:t>
      </w:r>
    </w:p>
    <w:p w:rsidR="0096081E" w:rsidRPr="0096081E" w:rsidRDefault="0096081E" w:rsidP="0096081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графі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5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диплом доктора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філософії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/кандидата наук;</w:t>
      </w:r>
    </w:p>
    <w:p w:rsidR="0096081E" w:rsidRPr="0096081E" w:rsidRDefault="0096081E" w:rsidP="0096081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графі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6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дослідників-жінок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диплом доктора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філософії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/кандидата наук;</w:t>
      </w:r>
    </w:p>
    <w:p w:rsidR="0096081E" w:rsidRPr="0096081E" w:rsidRDefault="0096081E" w:rsidP="0096081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графі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7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диплом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магістра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(без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урахування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із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ступенями);</w:t>
      </w:r>
    </w:p>
    <w:p w:rsidR="0096081E" w:rsidRPr="0096081E" w:rsidRDefault="0096081E" w:rsidP="0096081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графі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8 –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кількість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дослідників-жінок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які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мають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диплом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магістра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(без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урахування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дослідників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із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науковими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ступенями).</w:t>
      </w:r>
    </w:p>
    <w:p w:rsidR="0096081E" w:rsidRPr="0096081E" w:rsidRDefault="0096081E" w:rsidP="0096081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21E1F"/>
          <w:sz w:val="24"/>
          <w:szCs w:val="24"/>
          <w:lang w:eastAsia="ru-RU"/>
        </w:rPr>
      </w:pPr>
      <w:proofErr w:type="spellStart"/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Джерело</w:t>
      </w:r>
      <w:proofErr w:type="spellEnd"/>
      <w:r w:rsidRPr="0096081E">
        <w:rPr>
          <w:rFonts w:ascii="inherit" w:eastAsia="Times New Roman" w:hAnsi="inherit" w:cs="Arial"/>
          <w:b/>
          <w:bCs/>
          <w:color w:val="221E1F"/>
          <w:sz w:val="24"/>
          <w:szCs w:val="24"/>
          <w:bdr w:val="none" w:sz="0" w:space="0" w:color="auto" w:frame="1"/>
          <w:lang w:eastAsia="ru-RU"/>
        </w:rPr>
        <w:t>: "Баланс-Бюджет" № 54</w:t>
      </w:r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,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який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виходить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з </w:t>
      </w:r>
      <w:proofErr w:type="spellStart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>друку</w:t>
      </w:r>
      <w:proofErr w:type="spellEnd"/>
      <w:r w:rsidRPr="0096081E">
        <w:rPr>
          <w:rFonts w:ascii="Arial" w:eastAsia="Times New Roman" w:hAnsi="Arial" w:cs="Arial"/>
          <w:color w:val="221E1F"/>
          <w:sz w:val="24"/>
          <w:szCs w:val="24"/>
          <w:lang w:eastAsia="ru-RU"/>
        </w:rPr>
        <w:t xml:space="preserve"> 28.12.20 р.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1B38"/>
    <w:multiLevelType w:val="multilevel"/>
    <w:tmpl w:val="DCC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23E44"/>
    <w:multiLevelType w:val="multilevel"/>
    <w:tmpl w:val="CE38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166D"/>
    <w:multiLevelType w:val="multilevel"/>
    <w:tmpl w:val="31AE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22C22"/>
    <w:multiLevelType w:val="multilevel"/>
    <w:tmpl w:val="94F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2407B"/>
    <w:multiLevelType w:val="multilevel"/>
    <w:tmpl w:val="C98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D773A"/>
    <w:multiLevelType w:val="multilevel"/>
    <w:tmpl w:val="8C66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449BE"/>
    <w:multiLevelType w:val="multilevel"/>
    <w:tmpl w:val="9F42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25FE0"/>
    <w:multiLevelType w:val="multilevel"/>
    <w:tmpl w:val="BF8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E"/>
    <w:rsid w:val="006C0B77"/>
    <w:rsid w:val="008242FF"/>
    <w:rsid w:val="00870751"/>
    <w:rsid w:val="00922C48"/>
    <w:rsid w:val="009608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CA5F-D35E-4FCB-AA14-0D3BF85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6081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1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8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81E"/>
    <w:rPr>
      <w:b/>
      <w:bCs/>
    </w:rPr>
  </w:style>
  <w:style w:type="character" w:styleId="a5">
    <w:name w:val="Emphasis"/>
    <w:basedOn w:val="a0"/>
    <w:uiPriority w:val="20"/>
    <w:qFormat/>
    <w:rsid w:val="0096081E"/>
    <w:rPr>
      <w:i/>
      <w:iCs/>
    </w:rPr>
  </w:style>
  <w:style w:type="character" w:styleId="a6">
    <w:name w:val="Hyperlink"/>
    <w:basedOn w:val="a0"/>
    <w:uiPriority w:val="99"/>
    <w:semiHidden/>
    <w:unhideWhenUsed/>
    <w:rsid w:val="0096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0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uteka.ua/doc/Pro-zatverdzhennya-sproshhenogo-Planu-raxunkiv-buxgalterskogo-obli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uteka.ua/doc/Pro-zatverdzhennya-Planu-raxunkiv-buxgalterskogo-obliku-ta-Instrukcii-pro-jogo-zastosuvannya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uteka.ua/doc/Pro-zatverdzhennya-Planu-raxunkiv-buxgalterskogo-obliku-ta-Instrukcii-pro-jogo-zastosuvannya-2/PLAN-RAXUNKIV-buxgalterskogo-obliku-aktiviv-kapitalu-zobovyazan-i-gospodarskix-operacij-pidpriyemstv-i-organizaci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avo.uteka.ua/doc/Pro-zatverdzhennya-Instrukciizi-statistiki-kilkosti-pracivnikiv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uteka.ua/doc/podatkovij-kodeks-ukraini/ROZDIL-III-PODATOK-NA-PRIBUTOK-PIDPRIYEM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13119</Characters>
  <Application>Microsoft Office Word</Application>
  <DocSecurity>0</DocSecurity>
  <Lines>109</Lines>
  <Paragraphs>30</Paragraphs>
  <ScaleCrop>false</ScaleCrop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241DEF8</dc:creator>
  <cp:keywords/>
  <dc:description/>
  <cp:lastModifiedBy>241DEF8</cp:lastModifiedBy>
  <cp:revision>1</cp:revision>
  <dcterms:created xsi:type="dcterms:W3CDTF">2023-01-12T13:42:00Z</dcterms:created>
  <dcterms:modified xsi:type="dcterms:W3CDTF">2023-01-12T13:43:00Z</dcterms:modified>
</cp:coreProperties>
</file>